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6E92DA3F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1E1D461D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F1C768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" path="m,l21600,14168r,7432l,21600,,xe" fillcolor="#7030a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FD10D58" w:rsidR="00A602AF" w:rsidRPr="0088260E" w:rsidRDefault="003C547F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88260E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4BA8C95E" w:rsidR="00A602AF" w:rsidRPr="00EA262E" w:rsidRDefault="00D725A5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3056" behindDoc="0" locked="0" layoutInCell="1" allowOverlap="1" wp14:anchorId="2541EDDF" wp14:editId="66A8B0D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3463925</wp:posOffset>
                  </wp:positionV>
                  <wp:extent cx="3416935" cy="2177415"/>
                  <wp:effectExtent l="0" t="0" r="0" b="0"/>
                  <wp:wrapNone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F41498-6C93-E4C7-9078-894334D49C4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39F41498-6C93-E4C7-9078-894334D49C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12" b="93163" l="1568" r="98316">
                                        <a14:foregroundMark x1="4163" y1="30409" x2="1395" y2="38245"/>
                                        <a14:foregroundMark x1="13986" y1="75171" x2="14341" y2="75434"/>
                                        <a14:foregroundMark x1="3859" y1="30476" x2="1537" y2="38276"/>
                                        <a14:foregroundMark x1="24788" y1="9352" x2="40036" y2="2699"/>
                                        <a14:foregroundMark x1="90855" y1="19529" x2="95077" y2="24568"/>
                                        <a14:foregroundMark x1="98830" y1="38647" x2="98968" y2="39691"/>
                                        <a14:foregroundMark x1="98603" y1="36919" x2="98798" y2="38401"/>
                                        <a14:foregroundMark x1="98423" y1="35557" x2="98675" y2="37467"/>
                                        <a14:foregroundMark x1="98273" y1="40745" x2="98342" y2="41479"/>
                                        <a14:foregroundMark x1="98154" y1="39467" x2="98248" y2="40473"/>
                                        <a14:foregroundMark x1="97917" y1="36919" x2="98149" y2="39414"/>
                                        <a14:foregroundMark x1="97657" y1="34135" x2="97917" y2="36919"/>
                                        <a14:foregroundMark x1="31630" y1="90616" x2="44840" y2="96855"/>
                                        <a14:foregroundMark x1="52835" y1="96617" x2="61444" y2="94270"/>
                                        <a14:foregroundMark x1="70052" y1="87086" x2="70306" y2="86747"/>
                                        <a14:foregroundMark x1="91493" y1="19336" x2="94890" y2="23173"/>
                                        <a14:backgroundMark x1="40302" y1="2005" x2="48955" y2="729"/>
                                        <a14:backgroundMark x1="48955" y1="729" x2="65041" y2="5469"/>
                                        <a14:backgroundMark x1="64634" y1="6108" x2="71138" y2="8660"/>
                                        <a14:backgroundMark x1="89837" y1="18140" x2="91754" y2="18778"/>
                                        <a14:backgroundMark x1="89895" y1="18778" x2="91870" y2="18414"/>
                                        <a14:backgroundMark x1="91289" y1="18323" x2="91754" y2="18596"/>
                                        <a14:backgroundMark x1="91463" y1="19690" x2="91463" y2="19690"/>
                                        <a14:backgroundMark x1="91463" y1="18778" x2="91754" y2="19234"/>
                                        <a14:backgroundMark x1="95645" y1="22698" x2="99013" y2="35187"/>
                                        <a14:backgroundMark x1="99013" y1="35187" x2="99071" y2="35825"/>
                                        <a14:backgroundMark x1="89721" y1="59344" x2="96167" y2="48496"/>
                                        <a14:backgroundMark x1="96167" y1="48496" x2="99361" y2="36463"/>
                                        <a14:backgroundMark x1="99361" y1="36463" x2="99535" y2="33820"/>
                                        <a14:backgroundMark x1="95819" y1="49134" x2="97503" y2="46855"/>
                                        <a14:backgroundMark x1="95645" y1="48952" x2="97619" y2="46035"/>
                                        <a14:backgroundMark x1="98084" y1="40839" x2="99129" y2="35096"/>
                                        <a14:backgroundMark x1="98548" y1="39015" x2="99245" y2="35369"/>
                                        <a14:backgroundMark x1="98839" y1="36919" x2="98839" y2="36919"/>
                                        <a14:backgroundMark x1="98780" y1="36463" x2="98780" y2="36463"/>
                                        <a14:backgroundMark x1="98490" y1="37830" x2="98780" y2="35369"/>
                                        <a14:backgroundMark x1="96806" y1="46855" x2="99942" y2="38560"/>
                                        <a14:backgroundMark x1="97967" y1="44211" x2="99361" y2="39198"/>
                                        <a14:backgroundMark x1="97503" y1="45032" x2="99245" y2="38013"/>
                                        <a14:backgroundMark x1="98258" y1="42388" x2="99942" y2="39380"/>
                                        <a14:backgroundMark x1="27991" y1="88605" x2="31069" y2="91522"/>
                                        <a14:backgroundMark x1="44599" y1="97448" x2="52497" y2="97448"/>
                                        <a14:backgroundMark x1="2962" y1="29444" x2="13357" y2="27165"/>
                                        <a14:backgroundMark x1="1800" y1="63263" x2="10105" y2="72744"/>
                                        <a14:backgroundMark x1="10105" y1="72926" x2="13589" y2="75843"/>
                                        <a14:backgroundMark x1="13879" y1="76299" x2="17247" y2="78396"/>
                                        <a14:backgroundMark x1="17364" y1="78760" x2="20499" y2="80401"/>
                                        <a14:backgroundMark x1="1800" y1="60711" x2="4413" y2="64175"/>
                                        <a14:backgroundMark x1="755" y1="38104" x2="174" y2="44576"/>
                                        <a14:backgroundMark x1="348" y1="44667" x2="755" y2="51139"/>
                                        <a14:backgroundMark x1="813" y1="50684" x2="929" y2="56700"/>
                                        <a14:backgroundMark x1="1045" y1="55971" x2="2207" y2="62716"/>
                                        <a14:backgroundMark x1="2033" y1="59982" x2="3252" y2="64813"/>
                                        <a14:backgroundMark x1="61034" y1="95624" x2="66667" y2="93254"/>
                                        <a14:backgroundMark x1="62079" y1="94713" x2="67422" y2="92252"/>
                                        <a14:backgroundMark x1="61034" y1="95351" x2="62079" y2="95169"/>
                                        <a14:backgroundMark x1="66551" y1="92707" x2="71254" y2="87876"/>
                                        <a14:backgroundMark x1="65970" y1="91705" x2="70964" y2="88514"/>
                                        <a14:backgroundMark x1="68641" y1="89517" x2="70964" y2="86691"/>
                                        <a14:backgroundMark x1="68235" y1="89517" x2="71429" y2="86691"/>
                                        <a14:backgroundMark x1="83682" y1="67548" x2="80488" y2="75479"/>
                                        <a14:backgroundMark x1="80256" y1="73382" x2="77933" y2="78760"/>
                                        <a14:backgroundMark x1="77642" y1="77666" x2="73577" y2="82954"/>
                                        <a14:backgroundMark x1="73984" y1="82407" x2="70267" y2="86691"/>
                                        <a14:backgroundMark x1="70267" y1="87420" x2="68235" y2="89517"/>
                                        <a14:backgroundMark x1="22822" y1="10483" x2="25029" y2="856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16935" cy="217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40310647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33CAA0C5" w:rsidR="00A602AF" w:rsidRPr="00EA262E" w:rsidRDefault="00757AFA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7F866A46" wp14:editId="62A7EEEC">
                  <wp:extent cx="2952750" cy="2476500"/>
                  <wp:effectExtent l="0" t="0" r="0" b="0"/>
                  <wp:docPr id="744003456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003456" name="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0C744DC4" w:rsidR="0072335C" w:rsidRPr="00917558" w:rsidRDefault="0046216E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Lamparina de barro</w:t>
            </w:r>
          </w:p>
          <w:p w14:paraId="3887F4B9" w14:textId="77777777" w:rsidR="0072335C" w:rsidRPr="00DE681E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DE681E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Projeto SciArt</w:t>
            </w:r>
          </w:p>
          <w:p w14:paraId="50084DD9" w14:textId="4D2D1145" w:rsidR="00A602AF" w:rsidRPr="004F14C1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46D30E00" w:rsidR="009B2968" w:rsidRPr="00EA262E" w:rsidRDefault="0046216E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347FC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439ABD58" w14:textId="7EC4528D" w:rsidR="00D725A5" w:rsidRDefault="0046216E" w:rsidP="00BC0EA5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Corpo da lamparina</w:t>
            </w:r>
          </w:p>
          <w:p w14:paraId="2C207CE7" w14:textId="77777777" w:rsidR="0046216E" w:rsidRPr="0046216E" w:rsidRDefault="0046216E" w:rsidP="00BC0EA5">
            <w:pPr>
              <w:rPr>
                <w:rFonts w:ascii="Calibri" w:hAnsi="Calibri" w:cs="Calibri"/>
              </w:rPr>
            </w:pPr>
          </w:p>
          <w:p w14:paraId="5BAC3AC6" w14:textId="3540AF9F" w:rsidR="0046216E" w:rsidRPr="0046216E" w:rsidRDefault="0046216E" w:rsidP="0046216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do método XRD do corpo da lamparina.</w:t>
            </w:r>
          </w:p>
          <w:p w14:paraId="7957AC25" w14:textId="77777777" w:rsidR="0046216E" w:rsidRPr="0046216E" w:rsidRDefault="0046216E" w:rsidP="0046216E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4AAC8560" w14:textId="1ADC1E9A" w:rsidR="009B2968" w:rsidRDefault="0046216E" w:rsidP="00907846">
            <w:pPr>
              <w:rPr>
                <w:rFonts w:ascii="Calibri" w:hAnsi="Calibri"/>
                <w:sz w:val="32"/>
              </w:rPr>
            </w:pPr>
            <w:r>
              <w:rPr>
                <w:rFonts w:ascii="Calibri" w:hAnsi="Calibri"/>
                <w:sz w:val="32"/>
              </w:rPr>
              <w:t>A análise do padrão de XRD confirma a presença de quartzo (SiO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), calcita (CaCO</w:t>
            </w:r>
            <w:r>
              <w:rPr>
                <w:rFonts w:ascii="Calibri" w:hAnsi="Calibri"/>
                <w:sz w:val="32"/>
                <w:vertAlign w:val="subscript"/>
              </w:rPr>
              <w:t>3</w:t>
            </w:r>
            <w:r>
              <w:rPr>
                <w:rFonts w:ascii="Calibri" w:hAnsi="Calibri"/>
                <w:sz w:val="32"/>
              </w:rPr>
              <w:t>) e hematita (Fe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  <w:vertAlign w:val="subscript"/>
              </w:rPr>
              <w:t>3</w:t>
            </w:r>
            <w:r>
              <w:rPr>
                <w:rFonts w:ascii="Calibri" w:hAnsi="Calibri"/>
                <w:sz w:val="32"/>
              </w:rPr>
              <w:t>), além de indicar uma menor presença de anortita (CaAl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Si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  <w:vertAlign w:val="subscript"/>
              </w:rPr>
              <w:t>8</w:t>
            </w:r>
            <w:r>
              <w:rPr>
                <w:rFonts w:ascii="Calibri" w:hAnsi="Calibri"/>
                <w:sz w:val="32"/>
              </w:rPr>
              <w:t>), diopsite (CaMgSi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O</w:t>
            </w:r>
            <w:r>
              <w:rPr>
                <w:rFonts w:ascii="Calibri" w:hAnsi="Calibri"/>
                <w:sz w:val="32"/>
                <w:vertAlign w:val="subscript"/>
              </w:rPr>
              <w:t>6</w:t>
            </w:r>
            <w:r>
              <w:rPr>
                <w:rFonts w:ascii="Calibri" w:hAnsi="Calibri"/>
                <w:sz w:val="32"/>
              </w:rPr>
              <w:t>), gehlenita (Ca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Al(AlSi)O</w:t>
            </w:r>
            <w:r>
              <w:rPr>
                <w:rFonts w:ascii="Calibri" w:hAnsi="Calibri"/>
                <w:sz w:val="32"/>
                <w:vertAlign w:val="subscript"/>
              </w:rPr>
              <w:t>7</w:t>
            </w:r>
            <w:r>
              <w:rPr>
                <w:rFonts w:ascii="Calibri" w:hAnsi="Calibri"/>
                <w:sz w:val="32"/>
              </w:rPr>
              <w:t>) e illite ((K H</w:t>
            </w:r>
            <w:r>
              <w:rPr>
                <w:rFonts w:ascii="Calibri" w:hAnsi="Calibri"/>
                <w:sz w:val="32"/>
                <w:vertAlign w:val="subscript"/>
              </w:rPr>
              <w:t>3</w:t>
            </w:r>
            <w:r>
              <w:rPr>
                <w:rFonts w:ascii="Calibri" w:hAnsi="Calibri"/>
                <w:sz w:val="32"/>
              </w:rPr>
              <w:t>O)•(Al, Mg, Fe)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>•(Si Al)</w:t>
            </w:r>
            <w:r>
              <w:rPr>
                <w:rFonts w:ascii="Calibri" w:hAnsi="Calibri"/>
                <w:sz w:val="32"/>
                <w:vertAlign w:val="subscript"/>
              </w:rPr>
              <w:t>4</w:t>
            </w:r>
            <w:r>
              <w:rPr>
                <w:rFonts w:ascii="Calibri" w:hAnsi="Calibri"/>
                <w:sz w:val="32"/>
              </w:rPr>
              <w:t>•O</w:t>
            </w:r>
            <w:r>
              <w:rPr>
                <w:rFonts w:ascii="Calibri" w:hAnsi="Calibri"/>
                <w:sz w:val="32"/>
                <w:vertAlign w:val="subscript"/>
              </w:rPr>
              <w:t>10</w:t>
            </w:r>
            <w:r>
              <w:rPr>
                <w:rFonts w:ascii="Calibri" w:hAnsi="Calibri"/>
                <w:sz w:val="32"/>
              </w:rPr>
              <w:t>•[(OH)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 xml:space="preserve"> (H</w:t>
            </w:r>
            <w:r>
              <w:rPr>
                <w:rFonts w:ascii="Calibri" w:hAnsi="Calibri"/>
                <w:sz w:val="32"/>
                <w:vertAlign w:val="subscript"/>
              </w:rPr>
              <w:t>2</w:t>
            </w:r>
            <w:r>
              <w:rPr>
                <w:rFonts w:ascii="Calibri" w:hAnsi="Calibri"/>
                <w:sz w:val="32"/>
              </w:rPr>
              <w:t xml:space="preserve">O)]). </w:t>
            </w:r>
            <w:r w:rsidR="0088260E">
              <w:rPr>
                <w:rFonts w:ascii="Calibri" w:hAnsi="Calibri"/>
                <w:sz w:val="32"/>
              </w:rPr>
              <w:t>Todos e</w:t>
            </w:r>
            <w:r>
              <w:rPr>
                <w:rFonts w:ascii="Calibri" w:hAnsi="Calibri"/>
                <w:sz w:val="32"/>
              </w:rPr>
              <w:t>stes componentes todos são comuns na cerâmica e explica</w:t>
            </w:r>
            <w:r w:rsidR="0088260E">
              <w:rPr>
                <w:rFonts w:ascii="Calibri" w:hAnsi="Calibri"/>
                <w:sz w:val="32"/>
              </w:rPr>
              <w:t>m</w:t>
            </w:r>
            <w:r>
              <w:rPr>
                <w:rFonts w:ascii="Calibri" w:hAnsi="Calibri"/>
                <w:sz w:val="32"/>
              </w:rPr>
              <w:t xml:space="preserve"> a heterogeneidade e grãos multicoloridos da lamparina, observados sob o microscópio ótico e eletrónico.</w:t>
            </w:r>
            <w:r>
              <w:rPr>
                <w:rFonts w:ascii="Calibri" w:hAnsi="Calibri"/>
                <w:sz w:val="32"/>
              </w:rPr>
              <w:br/>
              <w:t xml:space="preserve"> </w:t>
            </w:r>
          </w:p>
          <w:p w14:paraId="41637C9F" w14:textId="77777777" w:rsidR="0088260E" w:rsidRDefault="0088260E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38346A74" w14:textId="77777777" w:rsidR="0088260E" w:rsidRPr="0046216E" w:rsidRDefault="0088260E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26E7D689" w:rsidR="00917558" w:rsidRPr="0046216E" w:rsidRDefault="00917558" w:rsidP="00907846">
            <w:pPr>
              <w:rPr>
                <w:rFonts w:ascii="Calibri" w:hAnsi="Calibri" w:cs="Calibri"/>
                <w:sz w:val="32"/>
                <w:szCs w:val="32"/>
              </w:rPr>
            </w:pPr>
          </w:p>
        </w:tc>
        <w:tc>
          <w:tcPr>
            <w:tcW w:w="4673" w:type="dxa"/>
            <w:vAlign w:val="center"/>
          </w:tcPr>
          <w:p w14:paraId="5E59B5E9" w14:textId="188CF2E3" w:rsidR="00F33C7D" w:rsidRPr="0046216E" w:rsidRDefault="00F33C7D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  <w:p w14:paraId="6CB7FB1B" w14:textId="5539A012" w:rsidR="009347FC" w:rsidRDefault="001B61A8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1EBEB55F" wp14:editId="664AA57B">
                  <wp:extent cx="2884846" cy="1490413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1361" cy="149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B39D28" w14:textId="77777777" w:rsidR="009347FC" w:rsidRPr="009347FC" w:rsidRDefault="009347FC" w:rsidP="004E0CDE">
            <w:pPr>
              <w:pStyle w:val="ImageCaption"/>
              <w:ind w:left="0"/>
              <w:jc w:val="center"/>
              <w:rPr>
                <w:rFonts w:ascii="Calibri" w:hAnsi="Calibri" w:cs="Calibri"/>
                <w:lang w:val="el-GR"/>
              </w:rPr>
            </w:pPr>
          </w:p>
          <w:p w14:paraId="16B2D4C1" w14:textId="5DA19950" w:rsidR="004F14C1" w:rsidRPr="00913C0F" w:rsidRDefault="004F14C1" w:rsidP="00913C0F">
            <w:pPr>
              <w:pStyle w:val="ImageCaption"/>
              <w:ind w:left="0"/>
              <w:rPr>
                <w:rFonts w:ascii="Calibri" w:hAnsi="Calibri" w:cs="Calibri"/>
                <w:lang w:val="el-GR"/>
              </w:rPr>
            </w:pPr>
          </w:p>
        </w:tc>
      </w:tr>
      <w:tr w:rsidR="009347FC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11FA2A9" w14:textId="68612EBE" w:rsidR="00D725A5" w:rsidRDefault="0046216E" w:rsidP="00286CFA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lastRenderedPageBreak/>
              <w:t>Ponto de Interesse 2: Detritos no rebordo do orifício</w:t>
            </w:r>
          </w:p>
          <w:p w14:paraId="255721A4" w14:textId="77777777" w:rsidR="0046216E" w:rsidRPr="0046216E" w:rsidRDefault="0046216E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47973CB3" w14:textId="17BFCED1" w:rsidR="0046216E" w:rsidRPr="0046216E" w:rsidRDefault="0046216E" w:rsidP="0046216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padrão do método XRD </w:t>
            </w:r>
            <w:r w:rsidR="00105D01">
              <w:rPr>
                <w:rFonts w:ascii="Calibri" w:hAnsi="Calibri"/>
                <w:sz w:val="32"/>
              </w:rPr>
              <w:t xml:space="preserve">que </w:t>
            </w:r>
            <w:r>
              <w:rPr>
                <w:rFonts w:ascii="Calibri" w:hAnsi="Calibri"/>
                <w:sz w:val="32"/>
              </w:rPr>
              <w:t>mostra os detritos encontrados no rebordo da lamparina.</w:t>
            </w:r>
          </w:p>
          <w:p w14:paraId="1000769F" w14:textId="77777777" w:rsidR="0046216E" w:rsidRPr="0046216E" w:rsidRDefault="0046216E" w:rsidP="0046216E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0C766945" w:rsidR="00907846" w:rsidRPr="0046216E" w:rsidRDefault="0046216E" w:rsidP="0046216E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análise do padrão não leva a quaisquer conclusões, exceto a </w:t>
            </w:r>
            <w:r w:rsidR="0088260E">
              <w:rPr>
                <w:rFonts w:ascii="Calibri" w:hAnsi="Calibri"/>
                <w:sz w:val="32"/>
              </w:rPr>
              <w:t xml:space="preserve">sugestão </w:t>
            </w:r>
            <w:r>
              <w:rPr>
                <w:rFonts w:ascii="Calibri" w:hAnsi="Calibri"/>
                <w:sz w:val="32"/>
              </w:rPr>
              <w:t>de que se trata de um material orgânico.</w:t>
            </w:r>
          </w:p>
        </w:tc>
        <w:tc>
          <w:tcPr>
            <w:tcW w:w="4673" w:type="dxa"/>
            <w:vAlign w:val="center"/>
          </w:tcPr>
          <w:p w14:paraId="4B7DA706" w14:textId="77777777" w:rsidR="009347FC" w:rsidRPr="0046216E" w:rsidRDefault="009347FC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D9192DB" w14:textId="4F349A95" w:rsidR="003E42C4" w:rsidRPr="0046216E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25B6283" w14:textId="38464AD2" w:rsidR="003E42C4" w:rsidRPr="0046216E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76CD4F79" w:rsidR="00907846" w:rsidRDefault="00C404AF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2"/>
              </w:rPr>
              <w:drawing>
                <wp:inline distT="0" distB="0" distL="0" distR="0" wp14:anchorId="3D6EC859" wp14:editId="216F60BC">
                  <wp:extent cx="2530867" cy="1952625"/>
                  <wp:effectExtent l="0" t="0" r="0" b="0"/>
                  <wp:docPr id="1185491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224" cy="1956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8B4128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5713E9" w14:textId="77777777" w:rsidR="00DB555B" w:rsidRDefault="00DB555B" w:rsidP="009B2968">
      <w:r>
        <w:separator/>
      </w:r>
    </w:p>
  </w:endnote>
  <w:endnote w:type="continuationSeparator" w:id="0">
    <w:p w14:paraId="422C49C9" w14:textId="77777777" w:rsidR="00DB555B" w:rsidRDefault="00DB555B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565353D8" w:rsidR="009B2968" w:rsidRDefault="0046216E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5889C0" w14:textId="77777777" w:rsidR="00DB555B" w:rsidRDefault="00DB555B" w:rsidP="009B2968">
      <w:r>
        <w:separator/>
      </w:r>
    </w:p>
  </w:footnote>
  <w:footnote w:type="continuationSeparator" w:id="0">
    <w:p w14:paraId="0ACF2C26" w14:textId="77777777" w:rsidR="00DB555B" w:rsidRDefault="00DB555B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62D889A7" w:rsidR="009B2968" w:rsidRPr="003C547F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2DF89BE3">
              <wp:extent cx="489585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95850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>
                        <a:solidFill>
                          <a:srgbClr val="7030A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F7B499E" id="Rectangle 5" o:spid="_x0000_s1026" alt="&quot;&quot;" style="width:385.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" fillcolor="#7030a0" strokecolor="#7030a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516F2"/>
    <w:rsid w:val="00063CBE"/>
    <w:rsid w:val="00075273"/>
    <w:rsid w:val="00086AFE"/>
    <w:rsid w:val="000F1FAA"/>
    <w:rsid w:val="00100F56"/>
    <w:rsid w:val="00105D01"/>
    <w:rsid w:val="00187632"/>
    <w:rsid w:val="001B61A8"/>
    <w:rsid w:val="001D390E"/>
    <w:rsid w:val="00211CE6"/>
    <w:rsid w:val="00222ADC"/>
    <w:rsid w:val="002366C9"/>
    <w:rsid w:val="00286CFA"/>
    <w:rsid w:val="00345140"/>
    <w:rsid w:val="003A7DA5"/>
    <w:rsid w:val="003C547F"/>
    <w:rsid w:val="003E42C4"/>
    <w:rsid w:val="003E6AB7"/>
    <w:rsid w:val="00433232"/>
    <w:rsid w:val="0046216E"/>
    <w:rsid w:val="004656BC"/>
    <w:rsid w:val="004912F1"/>
    <w:rsid w:val="004B0571"/>
    <w:rsid w:val="004E0CDE"/>
    <w:rsid w:val="004F14C1"/>
    <w:rsid w:val="005165C4"/>
    <w:rsid w:val="005232E8"/>
    <w:rsid w:val="00525B5D"/>
    <w:rsid w:val="005526B1"/>
    <w:rsid w:val="00555E16"/>
    <w:rsid w:val="00582396"/>
    <w:rsid w:val="005A09BB"/>
    <w:rsid w:val="005E3974"/>
    <w:rsid w:val="006151D9"/>
    <w:rsid w:val="0062204A"/>
    <w:rsid w:val="006453B7"/>
    <w:rsid w:val="006575A3"/>
    <w:rsid w:val="00684E89"/>
    <w:rsid w:val="006C60E6"/>
    <w:rsid w:val="0072335C"/>
    <w:rsid w:val="00757AFA"/>
    <w:rsid w:val="00780974"/>
    <w:rsid w:val="0088260E"/>
    <w:rsid w:val="008B017F"/>
    <w:rsid w:val="008B4128"/>
    <w:rsid w:val="008F0BC7"/>
    <w:rsid w:val="008F10E2"/>
    <w:rsid w:val="00907846"/>
    <w:rsid w:val="00913C0F"/>
    <w:rsid w:val="00917558"/>
    <w:rsid w:val="00926C7E"/>
    <w:rsid w:val="009347FC"/>
    <w:rsid w:val="00952F7D"/>
    <w:rsid w:val="00957750"/>
    <w:rsid w:val="009617FA"/>
    <w:rsid w:val="0098416A"/>
    <w:rsid w:val="009A380C"/>
    <w:rsid w:val="009B2968"/>
    <w:rsid w:val="009B72D4"/>
    <w:rsid w:val="009D4923"/>
    <w:rsid w:val="009E4683"/>
    <w:rsid w:val="009E6121"/>
    <w:rsid w:val="00A07DCE"/>
    <w:rsid w:val="00A123DD"/>
    <w:rsid w:val="00A602AF"/>
    <w:rsid w:val="00A64F96"/>
    <w:rsid w:val="00A81FAC"/>
    <w:rsid w:val="00A92B72"/>
    <w:rsid w:val="00AC6BE3"/>
    <w:rsid w:val="00AD1FA2"/>
    <w:rsid w:val="00AE2317"/>
    <w:rsid w:val="00AF6ED5"/>
    <w:rsid w:val="00B67B67"/>
    <w:rsid w:val="00B85F9F"/>
    <w:rsid w:val="00BC0EA5"/>
    <w:rsid w:val="00BD68F9"/>
    <w:rsid w:val="00BE03F1"/>
    <w:rsid w:val="00C3007A"/>
    <w:rsid w:val="00C404AF"/>
    <w:rsid w:val="00C740F6"/>
    <w:rsid w:val="00C95220"/>
    <w:rsid w:val="00D10D23"/>
    <w:rsid w:val="00D56CB1"/>
    <w:rsid w:val="00D725A5"/>
    <w:rsid w:val="00DB555B"/>
    <w:rsid w:val="00DE681E"/>
    <w:rsid w:val="00E00034"/>
    <w:rsid w:val="00E32336"/>
    <w:rsid w:val="00E44B70"/>
    <w:rsid w:val="00E6072E"/>
    <w:rsid w:val="00E61B79"/>
    <w:rsid w:val="00E832AC"/>
    <w:rsid w:val="00E853CF"/>
    <w:rsid w:val="00E873E7"/>
    <w:rsid w:val="00EA262E"/>
    <w:rsid w:val="00EA4A50"/>
    <w:rsid w:val="00F21248"/>
    <w:rsid w:val="00F33C7D"/>
    <w:rsid w:val="00F4393B"/>
    <w:rsid w:val="00F83629"/>
    <w:rsid w:val="00F922EE"/>
    <w:rsid w:val="00FB489C"/>
    <w:rsid w:val="00FD5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06F359CA-AC77-42C5-ABDF-D08758052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151D9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151D9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151D9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151D9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151D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sv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emf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3</Pages>
  <Words>143</Words>
  <Characters>777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2025-03-31T13:11:00Z</dcterms:created>
  <dcterms:modified xsi:type="dcterms:W3CDTF">2025-03-31T23:01:00Z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